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B6" w:rsidRPr="00995AB6" w:rsidRDefault="00995AB6" w:rsidP="00995AB6">
      <w:pPr>
        <w:jc w:val="center"/>
        <w:rPr>
          <w:rFonts w:ascii="Broadway" w:hAnsi="Broadway"/>
          <w:sz w:val="44"/>
          <w:szCs w:val="44"/>
        </w:rPr>
      </w:pPr>
      <w:r w:rsidRPr="00995AB6">
        <w:rPr>
          <w:rFonts w:ascii="Broadway" w:hAnsi="Broadway"/>
          <w:sz w:val="44"/>
          <w:szCs w:val="44"/>
        </w:rPr>
        <w:t xml:space="preserve">ELL-QRG </w:t>
      </w:r>
      <w:r w:rsidR="00394460">
        <w:rPr>
          <w:rFonts w:ascii="Broadway" w:hAnsi="Broadway"/>
          <w:sz w:val="44"/>
          <w:szCs w:val="44"/>
        </w:rPr>
        <w:t xml:space="preserve">Debrief </w:t>
      </w:r>
      <w:r w:rsidRPr="00995AB6">
        <w:rPr>
          <w:rFonts w:ascii="Broadway" w:hAnsi="Broadway"/>
          <w:sz w:val="44"/>
          <w:szCs w:val="44"/>
        </w:rPr>
        <w:t>Worksheet</w:t>
      </w:r>
      <w:r>
        <w:rPr>
          <w:rFonts w:ascii="Broadway" w:hAnsi="Broadway"/>
          <w:sz w:val="44"/>
          <w:szCs w:val="44"/>
        </w:rPr>
        <w:t xml:space="preserve"> </w:t>
      </w:r>
    </w:p>
    <w:p w:rsidR="00394460" w:rsidRDefault="00394460" w:rsidP="00394460">
      <w:pPr>
        <w:rPr>
          <w:sz w:val="20"/>
          <w:szCs w:val="20"/>
        </w:rPr>
      </w:pPr>
      <w:r>
        <w:rPr>
          <w:sz w:val="20"/>
          <w:szCs w:val="20"/>
        </w:rPr>
        <w:t xml:space="preserve">To accompany the Quick Reference Guide: </w:t>
      </w:r>
    </w:p>
    <w:p w:rsidR="00B52925" w:rsidRPr="00E84B96" w:rsidRDefault="00995AB6" w:rsidP="00394460">
      <w:pPr>
        <w:rPr>
          <w:sz w:val="20"/>
          <w:szCs w:val="20"/>
        </w:rPr>
      </w:pPr>
      <w:proofErr w:type="spellStart"/>
      <w:r w:rsidRPr="00E84B96">
        <w:rPr>
          <w:sz w:val="20"/>
          <w:szCs w:val="20"/>
        </w:rPr>
        <w:t>Himmele</w:t>
      </w:r>
      <w:proofErr w:type="spellEnd"/>
      <w:r w:rsidRPr="00E84B96">
        <w:rPr>
          <w:sz w:val="20"/>
          <w:szCs w:val="20"/>
        </w:rPr>
        <w:t xml:space="preserve">, P. &amp; </w:t>
      </w:r>
      <w:proofErr w:type="spellStart"/>
      <w:r w:rsidRPr="00E84B96">
        <w:rPr>
          <w:sz w:val="20"/>
          <w:szCs w:val="20"/>
        </w:rPr>
        <w:t>Himmele</w:t>
      </w:r>
      <w:proofErr w:type="spellEnd"/>
      <w:r w:rsidRPr="00E84B96">
        <w:rPr>
          <w:sz w:val="20"/>
          <w:szCs w:val="20"/>
        </w:rPr>
        <w:t>, W. (2019) Planning Effective Instruction for ELLs. (Quick Reference Guide). Alexandria, VA: ASCD</w:t>
      </w:r>
    </w:p>
    <w:p w:rsidR="00995AB6" w:rsidRDefault="00995AB6" w:rsidP="00995AB6">
      <w:r>
        <w:rPr>
          <w:rFonts w:ascii="Broadway" w:hAnsi="Broadway"/>
          <w:sz w:val="44"/>
          <w:szCs w:val="44"/>
        </w:rPr>
        <w:t xml:space="preserve">In </w:t>
      </w:r>
      <w:r w:rsidR="00AD7BCC">
        <w:rPr>
          <w:rFonts w:ascii="Broadway" w:hAnsi="Broadway"/>
          <w:sz w:val="44"/>
          <w:szCs w:val="44"/>
        </w:rPr>
        <w:t>a sentence for each</w:t>
      </w:r>
      <w:r>
        <w:rPr>
          <w:rFonts w:ascii="Broadway" w:hAnsi="Broadway"/>
          <w:sz w:val="44"/>
          <w:szCs w:val="4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95AB6" w:rsidTr="002A2B06">
        <w:tc>
          <w:tcPr>
            <w:tcW w:w="10790" w:type="dxa"/>
            <w:gridSpan w:val="3"/>
          </w:tcPr>
          <w:p w:rsidR="00995AB6" w:rsidRPr="00995AB6" w:rsidRDefault="00995AB6" w:rsidP="00E95CB3">
            <w:pPr>
              <w:rPr>
                <w:b/>
              </w:rPr>
            </w:pPr>
            <w:r w:rsidRPr="00995AB6">
              <w:rPr>
                <w:b/>
              </w:rPr>
              <w:t xml:space="preserve">Page 1 of the QRG contains basic background for understanding ELLs. </w:t>
            </w:r>
            <w:r w:rsidR="004331B3">
              <w:rPr>
                <w:b/>
              </w:rPr>
              <w:t>In a sentence</w:t>
            </w:r>
            <w:r w:rsidRPr="00995AB6">
              <w:rPr>
                <w:b/>
              </w:rPr>
              <w:t xml:space="preserve"> for each of the sections on page 1, record your biggest takeaways.</w:t>
            </w:r>
          </w:p>
        </w:tc>
      </w:tr>
      <w:tr w:rsidR="00995AB6" w:rsidTr="00995AB6">
        <w:tc>
          <w:tcPr>
            <w:tcW w:w="7193" w:type="dxa"/>
            <w:gridSpan w:val="2"/>
          </w:tcPr>
          <w:p w:rsidR="00995AB6" w:rsidRPr="00995AB6" w:rsidRDefault="00995AB6">
            <w:pPr>
              <w:rPr>
                <w:b/>
              </w:rPr>
            </w:pPr>
            <w:r w:rsidRPr="00995AB6">
              <w:rPr>
                <w:b/>
              </w:rPr>
              <w:t>What is an English language learner?</w:t>
            </w:r>
          </w:p>
          <w:p w:rsidR="00995AB6" w:rsidRDefault="00995AB6"/>
          <w:p w:rsidR="00995AB6" w:rsidRDefault="00995AB6"/>
          <w:p w:rsidR="00995AB6" w:rsidRDefault="00995AB6"/>
        </w:tc>
        <w:tc>
          <w:tcPr>
            <w:tcW w:w="3597" w:type="dxa"/>
          </w:tcPr>
          <w:p w:rsidR="00995AB6" w:rsidRPr="00995AB6" w:rsidRDefault="00995AB6">
            <w:pPr>
              <w:rPr>
                <w:b/>
              </w:rPr>
            </w:pPr>
            <w:r w:rsidRPr="00995AB6">
              <w:rPr>
                <w:b/>
              </w:rPr>
              <w:t>Conversational vs. Academic Language.</w:t>
            </w:r>
          </w:p>
        </w:tc>
      </w:tr>
      <w:tr w:rsidR="00995AB6" w:rsidTr="00995AB6">
        <w:tc>
          <w:tcPr>
            <w:tcW w:w="7193" w:type="dxa"/>
            <w:gridSpan w:val="2"/>
          </w:tcPr>
          <w:p w:rsidR="00995AB6" w:rsidRPr="00995AB6" w:rsidRDefault="00995AB6">
            <w:pPr>
              <w:rPr>
                <w:b/>
              </w:rPr>
            </w:pPr>
            <w:r w:rsidRPr="00995AB6">
              <w:rPr>
                <w:b/>
              </w:rPr>
              <w:t>ELLs in U.S. Schools</w:t>
            </w:r>
          </w:p>
          <w:p w:rsidR="00995AB6" w:rsidRDefault="00995AB6"/>
          <w:p w:rsidR="00995AB6" w:rsidRDefault="00995AB6"/>
        </w:tc>
        <w:tc>
          <w:tcPr>
            <w:tcW w:w="3597" w:type="dxa"/>
          </w:tcPr>
          <w:p w:rsidR="00995AB6" w:rsidRPr="00995AB6" w:rsidRDefault="00995AB6">
            <w:pPr>
              <w:rPr>
                <w:b/>
              </w:rPr>
            </w:pPr>
            <w:r w:rsidRPr="00995AB6">
              <w:rPr>
                <w:b/>
              </w:rPr>
              <w:t>CHATS</w:t>
            </w:r>
          </w:p>
          <w:p w:rsidR="00995AB6" w:rsidRDefault="00995AB6"/>
          <w:p w:rsidR="00995AB6" w:rsidRDefault="00995AB6"/>
        </w:tc>
      </w:tr>
      <w:tr w:rsidR="00995AB6" w:rsidTr="00A25805">
        <w:tc>
          <w:tcPr>
            <w:tcW w:w="10790" w:type="dxa"/>
            <w:gridSpan w:val="3"/>
          </w:tcPr>
          <w:p w:rsidR="00995AB6" w:rsidRPr="00995AB6" w:rsidRDefault="00995AB6">
            <w:pPr>
              <w:rPr>
                <w:b/>
              </w:rPr>
            </w:pPr>
            <w:r w:rsidRPr="00995AB6">
              <w:rPr>
                <w:b/>
              </w:rPr>
              <w:t>What you will and</w:t>
            </w:r>
            <w:r w:rsidR="00E95CB3">
              <w:rPr>
                <w:b/>
              </w:rPr>
              <w:t>/or</w:t>
            </w:r>
            <w:r w:rsidRPr="00995AB6">
              <w:rPr>
                <w:b/>
              </w:rPr>
              <w:t xml:space="preserve"> won’t need:</w:t>
            </w:r>
          </w:p>
          <w:p w:rsidR="00995AB6" w:rsidRDefault="00995AB6"/>
          <w:p w:rsidR="00995AB6" w:rsidRDefault="00995AB6"/>
        </w:tc>
      </w:tr>
      <w:tr w:rsidR="00995AB6" w:rsidTr="00995AB6">
        <w:trPr>
          <w:trHeight w:val="125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995AB6" w:rsidRPr="00E95CB3" w:rsidRDefault="00E95CB3" w:rsidP="00E95CB3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>
              <w:rPr>
                <w:rFonts w:ascii="Broadway" w:hAnsi="Broadway"/>
                <w:sz w:val="20"/>
                <w:szCs w:val="20"/>
              </w:rPr>
              <w:t>Comprehension</w:t>
            </w:r>
          </w:p>
        </w:tc>
      </w:tr>
      <w:tr w:rsidR="00995AB6" w:rsidTr="00995AB6">
        <w:trPr>
          <w:trHeight w:val="512"/>
        </w:trPr>
        <w:tc>
          <w:tcPr>
            <w:tcW w:w="10790" w:type="dxa"/>
            <w:gridSpan w:val="3"/>
          </w:tcPr>
          <w:p w:rsidR="00995AB6" w:rsidRPr="00995AB6" w:rsidRDefault="00995AB6" w:rsidP="00995AB6">
            <w:pPr>
              <w:rPr>
                <w:b/>
              </w:rPr>
            </w:pPr>
            <w:r w:rsidRPr="00995AB6">
              <w:rPr>
                <w:b/>
              </w:rPr>
              <w:t>Page 2 of the QRG addresses the importance of ensuri</w:t>
            </w:r>
            <w:r w:rsidR="004331B3">
              <w:rPr>
                <w:b/>
              </w:rPr>
              <w:t>ng comprehension. In a sentence</w:t>
            </w:r>
            <w:r w:rsidRPr="00995AB6">
              <w:rPr>
                <w:b/>
              </w:rPr>
              <w:t xml:space="preserve"> for each of the sections</w:t>
            </w:r>
            <w:r>
              <w:rPr>
                <w:b/>
              </w:rPr>
              <w:t xml:space="preserve"> </w:t>
            </w:r>
            <w:r w:rsidRPr="00995AB6">
              <w:rPr>
                <w:b/>
              </w:rPr>
              <w:t>on page 2, re</w:t>
            </w:r>
            <w:r>
              <w:rPr>
                <w:b/>
              </w:rPr>
              <w:t>spond to the corresponding prompt</w:t>
            </w:r>
            <w:r w:rsidRPr="00995AB6">
              <w:rPr>
                <w:b/>
              </w:rPr>
              <w:t>.</w:t>
            </w:r>
          </w:p>
        </w:tc>
      </w:tr>
      <w:tr w:rsidR="004331B3" w:rsidTr="00FE27DC">
        <w:tc>
          <w:tcPr>
            <w:tcW w:w="3596" w:type="dxa"/>
          </w:tcPr>
          <w:p w:rsidR="004331B3" w:rsidRPr="00995AB6" w:rsidRDefault="004331B3">
            <w:pPr>
              <w:rPr>
                <w:b/>
              </w:rPr>
            </w:pPr>
            <w:r>
              <w:rPr>
                <w:b/>
              </w:rPr>
              <w:t>Essentially, I should ask myself…</w:t>
            </w:r>
          </w:p>
          <w:p w:rsidR="004331B3" w:rsidRDefault="004331B3"/>
          <w:p w:rsidR="004331B3" w:rsidRDefault="004331B3"/>
        </w:tc>
        <w:tc>
          <w:tcPr>
            <w:tcW w:w="7194" w:type="dxa"/>
            <w:gridSpan w:val="2"/>
          </w:tcPr>
          <w:p w:rsidR="004331B3" w:rsidRPr="004331B3" w:rsidRDefault="004331B3">
            <w:pPr>
              <w:rPr>
                <w:b/>
              </w:rPr>
            </w:pPr>
            <w:r w:rsidRPr="004331B3">
              <w:rPr>
                <w:b/>
              </w:rPr>
              <w:t>If language is learned by encountering it in contexts that the students understand, how should that impact my approach to academic language in my classroom?</w:t>
            </w:r>
          </w:p>
          <w:p w:rsidR="004331B3" w:rsidRDefault="004331B3"/>
          <w:p w:rsidR="004331B3" w:rsidRDefault="004331B3"/>
        </w:tc>
      </w:tr>
      <w:tr w:rsidR="004331B3" w:rsidTr="00B73DEB">
        <w:tc>
          <w:tcPr>
            <w:tcW w:w="10790" w:type="dxa"/>
            <w:gridSpan w:val="3"/>
          </w:tcPr>
          <w:p w:rsidR="004331B3" w:rsidRPr="004331B3" w:rsidRDefault="004331B3">
            <w:pPr>
              <w:rPr>
                <w:b/>
              </w:rPr>
            </w:pPr>
            <w:r w:rsidRPr="004331B3">
              <w:rPr>
                <w:b/>
              </w:rPr>
              <w:t>The role of vocabulary</w:t>
            </w:r>
            <w:r>
              <w:rPr>
                <w:b/>
              </w:rPr>
              <w:t>- My one sentence summary:</w:t>
            </w:r>
          </w:p>
          <w:p w:rsidR="004331B3" w:rsidRDefault="004331B3"/>
          <w:p w:rsidR="004331B3" w:rsidRDefault="004331B3"/>
        </w:tc>
      </w:tr>
      <w:tr w:rsidR="004331B3" w:rsidTr="009F68F2">
        <w:tc>
          <w:tcPr>
            <w:tcW w:w="10790" w:type="dxa"/>
            <w:gridSpan w:val="3"/>
          </w:tcPr>
          <w:p w:rsidR="004331B3" w:rsidRPr="004331B3" w:rsidRDefault="004331B3" w:rsidP="004331B3">
            <w:pPr>
              <w:rPr>
                <w:b/>
              </w:rPr>
            </w:pPr>
            <w:r w:rsidRPr="004331B3">
              <w:rPr>
                <w:b/>
              </w:rPr>
              <w:t>If language is learned by encountering it in contexts that the students understand</w:t>
            </w:r>
            <w:r w:rsidR="00EA00D3">
              <w:rPr>
                <w:b/>
              </w:rPr>
              <w:t>, w</w:t>
            </w:r>
            <w:r>
              <w:rPr>
                <w:b/>
              </w:rPr>
              <w:t xml:space="preserve">hy might these strategies reflect best practices with ELLs? </w:t>
            </w:r>
          </w:p>
          <w:p w:rsidR="004331B3" w:rsidRDefault="004331B3"/>
          <w:p w:rsidR="004331B3" w:rsidRDefault="004331B3"/>
          <w:p w:rsidR="004331B3" w:rsidRDefault="004331B3"/>
        </w:tc>
      </w:tr>
      <w:tr w:rsidR="004331B3" w:rsidRPr="00995AB6" w:rsidTr="00F057A7">
        <w:trPr>
          <w:trHeight w:val="125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4331B3" w:rsidRPr="00E95CB3" w:rsidRDefault="00E95CB3" w:rsidP="00E95CB3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E95CB3">
              <w:rPr>
                <w:rFonts w:ascii="Broadway" w:hAnsi="Broadway"/>
                <w:sz w:val="20"/>
                <w:szCs w:val="20"/>
              </w:rPr>
              <w:t>Higher-Order Thinking</w:t>
            </w:r>
          </w:p>
        </w:tc>
      </w:tr>
      <w:tr w:rsidR="004331B3" w:rsidRPr="00995AB6" w:rsidTr="00F057A7">
        <w:trPr>
          <w:trHeight w:val="512"/>
        </w:trPr>
        <w:tc>
          <w:tcPr>
            <w:tcW w:w="10790" w:type="dxa"/>
            <w:gridSpan w:val="3"/>
          </w:tcPr>
          <w:p w:rsidR="004331B3" w:rsidRPr="00995AB6" w:rsidRDefault="004331B3" w:rsidP="004331B3">
            <w:pPr>
              <w:rPr>
                <w:b/>
              </w:rPr>
            </w:pPr>
            <w:r>
              <w:rPr>
                <w:b/>
              </w:rPr>
              <w:t>Page 3</w:t>
            </w:r>
            <w:r w:rsidRPr="00995AB6">
              <w:rPr>
                <w:b/>
              </w:rPr>
              <w:t xml:space="preserve"> of the QRG addresses the importance of ensuri</w:t>
            </w:r>
            <w:r>
              <w:rPr>
                <w:b/>
              </w:rPr>
              <w:t>ng opportunities for higher-order thinking. In a sentence</w:t>
            </w:r>
            <w:r w:rsidRPr="00995AB6">
              <w:rPr>
                <w:b/>
              </w:rPr>
              <w:t xml:space="preserve"> for each of the sections</w:t>
            </w:r>
            <w:r>
              <w:rPr>
                <w:b/>
              </w:rPr>
              <w:t xml:space="preserve"> on page 3</w:t>
            </w:r>
            <w:r w:rsidRPr="00995AB6">
              <w:rPr>
                <w:b/>
              </w:rPr>
              <w:t>, re</w:t>
            </w:r>
            <w:r>
              <w:rPr>
                <w:b/>
              </w:rPr>
              <w:t>spond to the corresponding prompt</w:t>
            </w:r>
            <w:r w:rsidR="00AD7BCC">
              <w:rPr>
                <w:b/>
              </w:rPr>
              <w:t>s</w:t>
            </w:r>
            <w:r w:rsidRPr="00995AB6">
              <w:rPr>
                <w:b/>
              </w:rPr>
              <w:t>.</w:t>
            </w:r>
          </w:p>
        </w:tc>
      </w:tr>
      <w:tr w:rsidR="004331B3" w:rsidTr="006E2E4C">
        <w:tc>
          <w:tcPr>
            <w:tcW w:w="10790" w:type="dxa"/>
            <w:gridSpan w:val="3"/>
          </w:tcPr>
          <w:p w:rsidR="004331B3" w:rsidRPr="00995AB6" w:rsidRDefault="004331B3" w:rsidP="00F057A7">
            <w:pPr>
              <w:rPr>
                <w:b/>
              </w:rPr>
            </w:pPr>
            <w:r>
              <w:rPr>
                <w:b/>
              </w:rPr>
              <w:t>Essentially, I should ask myself…</w:t>
            </w:r>
          </w:p>
          <w:p w:rsidR="004331B3" w:rsidRDefault="004331B3" w:rsidP="00F057A7"/>
          <w:p w:rsidR="004331B3" w:rsidRDefault="004331B3" w:rsidP="00F057A7"/>
        </w:tc>
      </w:tr>
      <w:tr w:rsidR="004331B3" w:rsidTr="00F057A7">
        <w:tc>
          <w:tcPr>
            <w:tcW w:w="10790" w:type="dxa"/>
            <w:gridSpan w:val="3"/>
          </w:tcPr>
          <w:p w:rsidR="004331B3" w:rsidRPr="004331B3" w:rsidRDefault="004331B3" w:rsidP="00F057A7">
            <w:pPr>
              <w:rPr>
                <w:b/>
              </w:rPr>
            </w:pPr>
            <w:r>
              <w:rPr>
                <w:b/>
              </w:rPr>
              <w:t>Access to Higher-Order Thinking - My one sentence summary:</w:t>
            </w:r>
          </w:p>
          <w:p w:rsidR="004331B3" w:rsidRDefault="004331B3" w:rsidP="00F057A7"/>
          <w:p w:rsidR="004331B3" w:rsidRDefault="004331B3" w:rsidP="00F057A7"/>
        </w:tc>
      </w:tr>
      <w:tr w:rsidR="004331B3" w:rsidTr="00F057A7">
        <w:tc>
          <w:tcPr>
            <w:tcW w:w="10790" w:type="dxa"/>
            <w:gridSpan w:val="3"/>
          </w:tcPr>
          <w:p w:rsidR="004331B3" w:rsidRPr="004331B3" w:rsidRDefault="00E95CB3" w:rsidP="00F057A7">
            <w:pPr>
              <w:rPr>
                <w:b/>
              </w:rPr>
            </w:pPr>
            <w:r>
              <w:rPr>
                <w:b/>
              </w:rPr>
              <w:t xml:space="preserve">With regard to developing higher-order thinking, why do the </w:t>
            </w:r>
            <w:proofErr w:type="spellStart"/>
            <w:r>
              <w:rPr>
                <w:b/>
              </w:rPr>
              <w:t>Himmeles</w:t>
            </w:r>
            <w:proofErr w:type="spellEnd"/>
            <w:r>
              <w:rPr>
                <w:b/>
              </w:rPr>
              <w:t xml:space="preserve"> believe that “calling on someone should be the last thing you do”</w:t>
            </w:r>
            <w:r w:rsidR="004331B3">
              <w:rPr>
                <w:b/>
              </w:rPr>
              <w:t xml:space="preserve">? </w:t>
            </w:r>
          </w:p>
          <w:p w:rsidR="004331B3" w:rsidRDefault="004331B3" w:rsidP="00F057A7"/>
          <w:p w:rsidR="004331B3" w:rsidRDefault="004331B3" w:rsidP="00F057A7"/>
        </w:tc>
      </w:tr>
      <w:tr w:rsidR="00E95CB3" w:rsidTr="002A022F">
        <w:tc>
          <w:tcPr>
            <w:tcW w:w="10790" w:type="dxa"/>
            <w:gridSpan w:val="3"/>
          </w:tcPr>
          <w:p w:rsidR="00E95CB3" w:rsidRPr="00E95CB3" w:rsidRDefault="00E95CB3" w:rsidP="00F057A7">
            <w:pPr>
              <w:rPr>
                <w:b/>
              </w:rPr>
            </w:pPr>
            <w:r w:rsidRPr="00E95CB3">
              <w:rPr>
                <w:b/>
              </w:rPr>
              <w:t>As you compare lower and higher-order thinking, notice the often confused components of “Apply” and “Create.” Why are they often confused and how are they different?</w:t>
            </w:r>
          </w:p>
          <w:p w:rsidR="00E95CB3" w:rsidRDefault="00E95CB3" w:rsidP="00F057A7"/>
          <w:p w:rsidR="00E95CB3" w:rsidRDefault="00E95CB3" w:rsidP="00F057A7"/>
          <w:p w:rsidR="00E84B96" w:rsidRDefault="00E84B96" w:rsidP="00F057A7"/>
        </w:tc>
      </w:tr>
      <w:tr w:rsidR="00E95CB3" w:rsidTr="00E95CB3">
        <w:tc>
          <w:tcPr>
            <w:tcW w:w="10790" w:type="dxa"/>
            <w:gridSpan w:val="3"/>
            <w:shd w:val="clear" w:color="auto" w:fill="D9D9D9" w:themeFill="background1" w:themeFillShade="D9"/>
          </w:tcPr>
          <w:p w:rsidR="00E95CB3" w:rsidRPr="00E95CB3" w:rsidRDefault="00E95CB3" w:rsidP="00E95CB3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>
              <w:rPr>
                <w:rFonts w:ascii="Broadway" w:hAnsi="Broadway"/>
                <w:sz w:val="20"/>
                <w:szCs w:val="20"/>
              </w:rPr>
              <w:lastRenderedPageBreak/>
              <w:t>Assessment</w:t>
            </w:r>
          </w:p>
        </w:tc>
      </w:tr>
      <w:tr w:rsidR="00E95CB3" w:rsidTr="00E7108E">
        <w:tc>
          <w:tcPr>
            <w:tcW w:w="10790" w:type="dxa"/>
            <w:gridSpan w:val="3"/>
          </w:tcPr>
          <w:p w:rsidR="00E95CB3" w:rsidRPr="00E95CB3" w:rsidRDefault="00E95CB3" w:rsidP="00F057A7">
            <w:pPr>
              <w:rPr>
                <w:b/>
              </w:rPr>
            </w:pPr>
            <w:r>
              <w:rPr>
                <w:b/>
              </w:rPr>
              <w:t>Page 4</w:t>
            </w:r>
            <w:r w:rsidRPr="00995AB6">
              <w:rPr>
                <w:b/>
              </w:rPr>
              <w:t xml:space="preserve"> of the QRG addresses the importance of </w:t>
            </w:r>
            <w:r>
              <w:rPr>
                <w:b/>
              </w:rPr>
              <w:t>assessment and checking for understanding. In a sentence</w:t>
            </w:r>
            <w:r w:rsidRPr="00995AB6">
              <w:rPr>
                <w:b/>
              </w:rPr>
              <w:t xml:space="preserve"> for each of the sections</w:t>
            </w:r>
            <w:r>
              <w:rPr>
                <w:b/>
              </w:rPr>
              <w:t xml:space="preserve"> on page </w:t>
            </w:r>
            <w:r w:rsidR="00AD7BCC">
              <w:rPr>
                <w:b/>
              </w:rPr>
              <w:t>4</w:t>
            </w:r>
            <w:r w:rsidRPr="00995AB6">
              <w:rPr>
                <w:b/>
              </w:rPr>
              <w:t>, re</w:t>
            </w:r>
            <w:r>
              <w:rPr>
                <w:b/>
              </w:rPr>
              <w:t>spond to the corresponding prompt</w:t>
            </w:r>
            <w:r w:rsidR="00AD7BCC">
              <w:rPr>
                <w:b/>
              </w:rPr>
              <w:t>s</w:t>
            </w:r>
            <w:r w:rsidRPr="00995AB6">
              <w:rPr>
                <w:b/>
              </w:rPr>
              <w:t>.</w:t>
            </w:r>
          </w:p>
        </w:tc>
      </w:tr>
      <w:tr w:rsidR="00E95CB3" w:rsidTr="00682CD3">
        <w:tc>
          <w:tcPr>
            <w:tcW w:w="10790" w:type="dxa"/>
            <w:gridSpan w:val="3"/>
          </w:tcPr>
          <w:p w:rsidR="00E95CB3" w:rsidRPr="00995AB6" w:rsidRDefault="00E95CB3" w:rsidP="00E95CB3">
            <w:pPr>
              <w:rPr>
                <w:b/>
              </w:rPr>
            </w:pPr>
            <w:r>
              <w:rPr>
                <w:b/>
              </w:rPr>
              <w:t>Essentially, I should ask myself…</w:t>
            </w:r>
          </w:p>
          <w:p w:rsidR="00E95CB3" w:rsidRDefault="00E95CB3" w:rsidP="00F057A7"/>
        </w:tc>
      </w:tr>
      <w:tr w:rsidR="00E95CB3" w:rsidTr="00C529D2">
        <w:tc>
          <w:tcPr>
            <w:tcW w:w="10790" w:type="dxa"/>
            <w:gridSpan w:val="3"/>
          </w:tcPr>
          <w:p w:rsidR="00E95CB3" w:rsidRPr="00AD7BCC" w:rsidRDefault="00E95CB3" w:rsidP="00F057A7">
            <w:pPr>
              <w:rPr>
                <w:b/>
              </w:rPr>
            </w:pPr>
            <w:r w:rsidRPr="00AD7BCC">
              <w:rPr>
                <w:b/>
              </w:rPr>
              <w:t xml:space="preserve">How can understanding ELL linguistic and academic histories support me in </w:t>
            </w:r>
            <w:r w:rsidR="00AD7BCC" w:rsidRPr="00AD7BCC">
              <w:rPr>
                <w:b/>
              </w:rPr>
              <w:t>planning?</w:t>
            </w:r>
          </w:p>
          <w:p w:rsidR="00AD7BCC" w:rsidRDefault="00AD7BCC" w:rsidP="00F057A7"/>
        </w:tc>
      </w:tr>
      <w:tr w:rsidR="004331B3" w:rsidTr="004331B3">
        <w:tc>
          <w:tcPr>
            <w:tcW w:w="3596" w:type="dxa"/>
          </w:tcPr>
          <w:p w:rsidR="004331B3" w:rsidRPr="00AD7BCC" w:rsidRDefault="00AD7BCC" w:rsidP="00F057A7">
            <w:pPr>
              <w:rPr>
                <w:b/>
                <w:sz w:val="20"/>
                <w:szCs w:val="20"/>
              </w:rPr>
            </w:pPr>
            <w:r w:rsidRPr="00AD7BCC">
              <w:rPr>
                <w:b/>
                <w:sz w:val="20"/>
                <w:szCs w:val="20"/>
              </w:rPr>
              <w:t>How might my planning support students who are newly arrived with adequate schooling?</w:t>
            </w:r>
          </w:p>
          <w:p w:rsidR="00AD7BCC" w:rsidRDefault="00AD7BCC" w:rsidP="00F057A7"/>
          <w:p w:rsidR="00AD7BCC" w:rsidRDefault="00AD7BCC" w:rsidP="00F057A7"/>
        </w:tc>
        <w:tc>
          <w:tcPr>
            <w:tcW w:w="3597" w:type="dxa"/>
          </w:tcPr>
          <w:p w:rsidR="00AD7BCC" w:rsidRPr="00AD7BCC" w:rsidRDefault="00AD7BCC" w:rsidP="00AD7BCC">
            <w:pPr>
              <w:rPr>
                <w:b/>
                <w:sz w:val="20"/>
                <w:szCs w:val="20"/>
              </w:rPr>
            </w:pPr>
            <w:r w:rsidRPr="00AD7BCC">
              <w:rPr>
                <w:b/>
                <w:sz w:val="20"/>
                <w:szCs w:val="20"/>
              </w:rPr>
              <w:t>How might my planning support students who are newly arrived with limited or interrupted schooling?</w:t>
            </w:r>
          </w:p>
          <w:p w:rsidR="004331B3" w:rsidRDefault="004331B3" w:rsidP="00F057A7"/>
          <w:p w:rsidR="00AD7BCC" w:rsidRDefault="00AD7BCC" w:rsidP="00F057A7"/>
        </w:tc>
        <w:tc>
          <w:tcPr>
            <w:tcW w:w="3597" w:type="dxa"/>
          </w:tcPr>
          <w:p w:rsidR="00AD7BCC" w:rsidRPr="00AD7BCC" w:rsidRDefault="00AD7BCC" w:rsidP="00AD7BCC">
            <w:pPr>
              <w:rPr>
                <w:b/>
                <w:sz w:val="20"/>
                <w:szCs w:val="20"/>
              </w:rPr>
            </w:pPr>
            <w:r w:rsidRPr="00AD7BCC">
              <w:rPr>
                <w:b/>
                <w:sz w:val="20"/>
                <w:szCs w:val="20"/>
              </w:rPr>
              <w:t>How might my planning support students who might be considered longer-term English learners?</w:t>
            </w:r>
          </w:p>
          <w:p w:rsidR="004331B3" w:rsidRDefault="004331B3" w:rsidP="00F057A7"/>
          <w:p w:rsidR="00AD7BCC" w:rsidRDefault="00AD7BCC" w:rsidP="00F057A7"/>
        </w:tc>
      </w:tr>
      <w:tr w:rsidR="00AD7BCC" w:rsidTr="00AD7BCC">
        <w:tc>
          <w:tcPr>
            <w:tcW w:w="10790" w:type="dxa"/>
            <w:gridSpan w:val="3"/>
            <w:shd w:val="clear" w:color="auto" w:fill="D9D9D9" w:themeFill="background1" w:themeFillShade="D9"/>
          </w:tcPr>
          <w:p w:rsidR="00AD7BCC" w:rsidRPr="00AD7BCC" w:rsidRDefault="00AD7BCC" w:rsidP="00AD7BCC">
            <w:pPr>
              <w:jc w:val="center"/>
              <w:rPr>
                <w:rFonts w:ascii="Broadway" w:hAnsi="Broadway"/>
                <w:b/>
                <w:sz w:val="20"/>
                <w:szCs w:val="20"/>
              </w:rPr>
            </w:pPr>
            <w:r>
              <w:rPr>
                <w:rFonts w:ascii="Broadway" w:hAnsi="Broadway"/>
                <w:b/>
                <w:sz w:val="20"/>
                <w:szCs w:val="20"/>
              </w:rPr>
              <w:t>Total Participation Techniques</w:t>
            </w:r>
          </w:p>
        </w:tc>
      </w:tr>
      <w:tr w:rsidR="00AD7BCC" w:rsidTr="001454EB">
        <w:tc>
          <w:tcPr>
            <w:tcW w:w="10790" w:type="dxa"/>
            <w:gridSpan w:val="3"/>
          </w:tcPr>
          <w:p w:rsidR="00AD7BCC" w:rsidRDefault="00AD7BCC" w:rsidP="00EB4D16">
            <w:r>
              <w:rPr>
                <w:b/>
              </w:rPr>
              <w:t>Page 5</w:t>
            </w:r>
            <w:r w:rsidRPr="00995AB6">
              <w:rPr>
                <w:b/>
              </w:rPr>
              <w:t xml:space="preserve"> of the QRG addresses the importance of </w:t>
            </w:r>
            <w:r w:rsidR="00EB4D16">
              <w:rPr>
                <w:b/>
              </w:rPr>
              <w:t>ensuring that all students are engaged.</w:t>
            </w:r>
            <w:r>
              <w:rPr>
                <w:b/>
              </w:rPr>
              <w:t xml:space="preserve"> In a sentence</w:t>
            </w:r>
            <w:r w:rsidRPr="00995AB6">
              <w:rPr>
                <w:b/>
              </w:rPr>
              <w:t xml:space="preserve"> for each of the sections</w:t>
            </w:r>
            <w:r>
              <w:rPr>
                <w:b/>
              </w:rPr>
              <w:t xml:space="preserve"> on page 5</w:t>
            </w:r>
            <w:r w:rsidRPr="00995AB6">
              <w:rPr>
                <w:b/>
              </w:rPr>
              <w:t>, re</w:t>
            </w:r>
            <w:r>
              <w:rPr>
                <w:b/>
              </w:rPr>
              <w:t>spond to the corresponding prompts</w:t>
            </w:r>
            <w:r w:rsidRPr="00995AB6">
              <w:rPr>
                <w:b/>
              </w:rPr>
              <w:t>.</w:t>
            </w:r>
          </w:p>
        </w:tc>
      </w:tr>
      <w:tr w:rsidR="00AD7BCC" w:rsidTr="000D23C8">
        <w:tc>
          <w:tcPr>
            <w:tcW w:w="10790" w:type="dxa"/>
            <w:gridSpan w:val="3"/>
          </w:tcPr>
          <w:p w:rsidR="00AD7BCC" w:rsidRPr="00995AB6" w:rsidRDefault="00AD7BCC" w:rsidP="00AD7BCC">
            <w:pPr>
              <w:rPr>
                <w:b/>
              </w:rPr>
            </w:pPr>
            <w:r>
              <w:rPr>
                <w:b/>
              </w:rPr>
              <w:t>Essentially, I should ask myself…</w:t>
            </w:r>
          </w:p>
          <w:p w:rsidR="00AD7BCC" w:rsidRDefault="00AD7BCC" w:rsidP="00F057A7"/>
        </w:tc>
      </w:tr>
      <w:tr w:rsidR="00AD7BCC" w:rsidTr="002A1594">
        <w:tc>
          <w:tcPr>
            <w:tcW w:w="10790" w:type="dxa"/>
            <w:gridSpan w:val="3"/>
          </w:tcPr>
          <w:p w:rsidR="00AD7BCC" w:rsidRPr="00EB4D16" w:rsidRDefault="00AD7BCC" w:rsidP="00F057A7">
            <w:pPr>
              <w:rPr>
                <w:b/>
              </w:rPr>
            </w:pPr>
            <w:r w:rsidRPr="00EB4D16">
              <w:rPr>
                <w:b/>
              </w:rPr>
              <w:t xml:space="preserve">Why do the </w:t>
            </w:r>
            <w:proofErr w:type="spellStart"/>
            <w:r w:rsidRPr="00EB4D16">
              <w:rPr>
                <w:b/>
              </w:rPr>
              <w:t>Himmeles</w:t>
            </w:r>
            <w:proofErr w:type="spellEnd"/>
            <w:r w:rsidRPr="00EB4D16">
              <w:rPr>
                <w:b/>
              </w:rPr>
              <w:t xml:space="preserve"> believe that using Total Participation Techniques is an </w:t>
            </w:r>
            <w:r w:rsidRPr="00EB4D16">
              <w:rPr>
                <w:b/>
                <w:u w:val="single"/>
              </w:rPr>
              <w:t>essential</w:t>
            </w:r>
            <w:r w:rsidRPr="00EB4D16">
              <w:rPr>
                <w:b/>
              </w:rPr>
              <w:t xml:space="preserve"> component to a classroom that supports </w:t>
            </w:r>
            <w:proofErr w:type="spellStart"/>
            <w:r w:rsidRPr="00EB4D16">
              <w:rPr>
                <w:b/>
              </w:rPr>
              <w:t>ELLs’</w:t>
            </w:r>
            <w:proofErr w:type="spellEnd"/>
            <w:r w:rsidRPr="00EB4D16">
              <w:rPr>
                <w:b/>
              </w:rPr>
              <w:t xml:space="preserve"> academic and linguistic growth?</w:t>
            </w:r>
          </w:p>
          <w:p w:rsidR="00AD7BCC" w:rsidRDefault="00AD7BCC" w:rsidP="00F057A7"/>
          <w:p w:rsidR="00AD7BCC" w:rsidRDefault="00AD7BCC" w:rsidP="00F057A7"/>
        </w:tc>
      </w:tr>
      <w:tr w:rsidR="00EB4D16" w:rsidTr="006E417B">
        <w:tc>
          <w:tcPr>
            <w:tcW w:w="10790" w:type="dxa"/>
            <w:gridSpan w:val="3"/>
          </w:tcPr>
          <w:p w:rsidR="00EB4D16" w:rsidRPr="00EB4D16" w:rsidRDefault="00EB4D16" w:rsidP="00F057A7">
            <w:pPr>
              <w:rPr>
                <w:b/>
              </w:rPr>
            </w:pPr>
            <w:r w:rsidRPr="00EB4D16">
              <w:rPr>
                <w:b/>
              </w:rPr>
              <w:t>Of the TPTs presented, which would you most likely use?</w:t>
            </w:r>
            <w:r>
              <w:rPr>
                <w:b/>
              </w:rPr>
              <w:t xml:space="preserve"> Why?</w:t>
            </w:r>
          </w:p>
          <w:p w:rsidR="00EB4D16" w:rsidRDefault="00EB4D16" w:rsidP="00F057A7"/>
        </w:tc>
      </w:tr>
      <w:tr w:rsidR="00EB4D16" w:rsidTr="00EB4D16">
        <w:tc>
          <w:tcPr>
            <w:tcW w:w="10790" w:type="dxa"/>
            <w:gridSpan w:val="3"/>
            <w:shd w:val="clear" w:color="auto" w:fill="D9D9D9" w:themeFill="background1" w:themeFillShade="D9"/>
          </w:tcPr>
          <w:p w:rsidR="00EB4D16" w:rsidRPr="00EB4D16" w:rsidRDefault="00EB4D16" w:rsidP="00EB4D16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>
              <w:rPr>
                <w:rFonts w:ascii="Broadway" w:hAnsi="Broadway"/>
                <w:sz w:val="20"/>
                <w:szCs w:val="20"/>
              </w:rPr>
              <w:t>Scaffolding</w:t>
            </w:r>
          </w:p>
        </w:tc>
      </w:tr>
      <w:tr w:rsidR="00EB4D16" w:rsidTr="006737EF">
        <w:tc>
          <w:tcPr>
            <w:tcW w:w="10790" w:type="dxa"/>
            <w:gridSpan w:val="3"/>
          </w:tcPr>
          <w:p w:rsidR="00EB4D16" w:rsidRDefault="00EB4D16" w:rsidP="00EB4D16">
            <w:r>
              <w:rPr>
                <w:b/>
              </w:rPr>
              <w:t>Page 6</w:t>
            </w:r>
            <w:r w:rsidRPr="00995AB6">
              <w:rPr>
                <w:b/>
              </w:rPr>
              <w:t xml:space="preserve"> of the QRG addresses the importance of </w:t>
            </w:r>
            <w:r>
              <w:rPr>
                <w:b/>
              </w:rPr>
              <w:t>embedding nonverbal scaffolds that support comprehension. In a sentence</w:t>
            </w:r>
            <w:r w:rsidRPr="00995AB6">
              <w:rPr>
                <w:b/>
              </w:rPr>
              <w:t xml:space="preserve"> for each of the sections</w:t>
            </w:r>
            <w:r>
              <w:rPr>
                <w:b/>
              </w:rPr>
              <w:t xml:space="preserve"> on page 6</w:t>
            </w:r>
            <w:r w:rsidRPr="00995AB6">
              <w:rPr>
                <w:b/>
              </w:rPr>
              <w:t>, re</w:t>
            </w:r>
            <w:r>
              <w:rPr>
                <w:b/>
              </w:rPr>
              <w:t>spond to the corresponding prompts</w:t>
            </w:r>
            <w:r w:rsidRPr="00995AB6">
              <w:rPr>
                <w:b/>
              </w:rPr>
              <w:t>.</w:t>
            </w:r>
          </w:p>
        </w:tc>
      </w:tr>
      <w:tr w:rsidR="00EB4D16" w:rsidTr="004D5B84">
        <w:tc>
          <w:tcPr>
            <w:tcW w:w="10790" w:type="dxa"/>
            <w:gridSpan w:val="3"/>
          </w:tcPr>
          <w:p w:rsidR="00EB4D16" w:rsidRPr="00995AB6" w:rsidRDefault="00EB4D16" w:rsidP="00EB4D16">
            <w:pPr>
              <w:rPr>
                <w:b/>
              </w:rPr>
            </w:pPr>
            <w:r>
              <w:rPr>
                <w:b/>
              </w:rPr>
              <w:t>Essentially, I should ask myself…</w:t>
            </w:r>
          </w:p>
          <w:p w:rsidR="00EB4D16" w:rsidRDefault="00394460" w:rsidP="00394460">
            <w:pPr>
              <w:tabs>
                <w:tab w:val="left" w:pos="6690"/>
              </w:tabs>
            </w:pPr>
            <w:r>
              <w:tab/>
            </w:r>
          </w:p>
        </w:tc>
      </w:tr>
      <w:tr w:rsidR="00EB4D16" w:rsidTr="00646EB3">
        <w:tc>
          <w:tcPr>
            <w:tcW w:w="10790" w:type="dxa"/>
            <w:gridSpan w:val="3"/>
          </w:tcPr>
          <w:p w:rsidR="00EB4D16" w:rsidRPr="00EB4D16" w:rsidRDefault="00EB4D16" w:rsidP="00EB4D16">
            <w:pPr>
              <w:rPr>
                <w:b/>
              </w:rPr>
            </w:pPr>
            <w:r w:rsidRPr="00EB4D16">
              <w:rPr>
                <w:b/>
              </w:rPr>
              <w:t>Biggest takeaway for “4 Nonverbal Scaffolding Strategies.”</w:t>
            </w:r>
          </w:p>
          <w:p w:rsidR="00EB4D16" w:rsidRDefault="00EB4D16" w:rsidP="00EB4D16"/>
          <w:p w:rsidR="00EB4D16" w:rsidRDefault="00EB4D16" w:rsidP="00EB4D16"/>
        </w:tc>
      </w:tr>
      <w:tr w:rsidR="00EB4D16" w:rsidTr="00DD0374">
        <w:tc>
          <w:tcPr>
            <w:tcW w:w="10790" w:type="dxa"/>
            <w:gridSpan w:val="3"/>
          </w:tcPr>
          <w:p w:rsidR="00EB4D16" w:rsidRPr="00EB4D16" w:rsidRDefault="00EB4D16" w:rsidP="00EB4D16">
            <w:pPr>
              <w:rPr>
                <w:b/>
              </w:rPr>
            </w:pPr>
            <w:r w:rsidRPr="00EB4D16">
              <w:rPr>
                <w:b/>
              </w:rPr>
              <w:t>Read the section</w:t>
            </w:r>
            <w:r>
              <w:rPr>
                <w:b/>
              </w:rPr>
              <w:t>,</w:t>
            </w:r>
            <w:r w:rsidRPr="00EB4D16">
              <w:rPr>
                <w:b/>
              </w:rPr>
              <w:t xml:space="preserve"> “Don’</w:t>
            </w:r>
            <w:r>
              <w:rPr>
                <w:b/>
              </w:rPr>
              <w:t>t F</w:t>
            </w:r>
            <w:r w:rsidRPr="00EB4D16">
              <w:rPr>
                <w:b/>
              </w:rPr>
              <w:t>orget</w:t>
            </w:r>
            <w:r>
              <w:rPr>
                <w:b/>
              </w:rPr>
              <w:t>,</w:t>
            </w:r>
            <w:r w:rsidRPr="00EB4D16">
              <w:rPr>
                <w:b/>
              </w:rPr>
              <w:t>” and record your biggest takeaway.</w:t>
            </w:r>
          </w:p>
          <w:p w:rsidR="00EB4D16" w:rsidRDefault="00EB4D16" w:rsidP="00EB4D16"/>
          <w:p w:rsidR="00EB4D16" w:rsidRDefault="00EB4D16" w:rsidP="00EB4D16"/>
        </w:tc>
      </w:tr>
      <w:tr w:rsidR="00EB4D16" w:rsidTr="00EB4D16">
        <w:tc>
          <w:tcPr>
            <w:tcW w:w="10790" w:type="dxa"/>
            <w:gridSpan w:val="3"/>
            <w:shd w:val="clear" w:color="auto" w:fill="D9D9D9" w:themeFill="background1" w:themeFillShade="D9"/>
          </w:tcPr>
          <w:p w:rsidR="00EB4D16" w:rsidRPr="00EB4D16" w:rsidRDefault="00EB4D16" w:rsidP="00EB4D16">
            <w:pPr>
              <w:jc w:val="center"/>
              <w:rPr>
                <w:rFonts w:ascii="Broadway" w:hAnsi="Broadway"/>
                <w:b/>
              </w:rPr>
            </w:pPr>
            <w:r>
              <w:rPr>
                <w:rFonts w:ascii="Broadway" w:hAnsi="Broadway"/>
                <w:b/>
              </w:rPr>
              <w:t>Using the ELL QRG in Your Classroom</w:t>
            </w:r>
          </w:p>
        </w:tc>
      </w:tr>
      <w:tr w:rsidR="001C2F42" w:rsidTr="007D436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1C2F42" w:rsidRDefault="001C2F42" w:rsidP="001C2F42">
            <w:pPr>
              <w:rPr>
                <w:b/>
              </w:rPr>
            </w:pPr>
            <w:r>
              <w:rPr>
                <w:b/>
              </w:rPr>
              <w:t>What is your biggest “Aha” r</w:t>
            </w:r>
            <w:bookmarkStart w:id="0" w:name="_GoBack"/>
            <w:bookmarkEnd w:id="0"/>
            <w:r>
              <w:rPr>
                <w:b/>
              </w:rPr>
              <w:t>egarding the content of this QRG?</w:t>
            </w:r>
          </w:p>
          <w:p w:rsidR="001C2F42" w:rsidRDefault="001C2F42" w:rsidP="001C2F42"/>
          <w:p w:rsidR="00EA00D3" w:rsidRDefault="00EA00D3" w:rsidP="001C2F42"/>
          <w:p w:rsidR="001C2F42" w:rsidRPr="001C2F42" w:rsidRDefault="001C2F42" w:rsidP="001C2F42"/>
        </w:tc>
      </w:tr>
      <w:tr w:rsidR="00EB4D16" w:rsidTr="007D4367">
        <w:tc>
          <w:tcPr>
            <w:tcW w:w="10790" w:type="dxa"/>
            <w:gridSpan w:val="3"/>
            <w:shd w:val="clear" w:color="auto" w:fill="F2F2F2" w:themeFill="background1" w:themeFillShade="F2"/>
          </w:tcPr>
          <w:p w:rsidR="001C2F42" w:rsidRPr="001C2F42" w:rsidRDefault="00EB4D16" w:rsidP="001C2F42">
            <w:pPr>
              <w:rPr>
                <w:b/>
              </w:rPr>
            </w:pPr>
            <w:r w:rsidRPr="001C2F42">
              <w:rPr>
                <w:b/>
              </w:rPr>
              <w:t xml:space="preserve">The </w:t>
            </w:r>
            <w:proofErr w:type="spellStart"/>
            <w:r w:rsidRPr="001C2F42">
              <w:rPr>
                <w:b/>
              </w:rPr>
              <w:t>Himmeles</w:t>
            </w:r>
            <w:proofErr w:type="spellEnd"/>
            <w:r w:rsidRPr="001C2F42">
              <w:rPr>
                <w:b/>
              </w:rPr>
              <w:t xml:space="preserve"> suggest that teachers plan their lessons </w:t>
            </w:r>
            <w:r w:rsidR="001C2F42">
              <w:rPr>
                <w:b/>
              </w:rPr>
              <w:t xml:space="preserve">as they normally would, </w:t>
            </w:r>
            <w:r w:rsidRPr="001C2F42">
              <w:rPr>
                <w:b/>
              </w:rPr>
              <w:t xml:space="preserve">and then come back to the </w:t>
            </w:r>
            <w:r w:rsidRPr="001C2F42">
              <w:rPr>
                <w:b/>
                <w:i/>
              </w:rPr>
              <w:t>“Questions to Ask Yourself”</w:t>
            </w:r>
            <w:r w:rsidR="001C2F42" w:rsidRPr="001C2F42">
              <w:rPr>
                <w:b/>
              </w:rPr>
              <w:t xml:space="preserve"> sections </w:t>
            </w:r>
            <w:r w:rsidR="001C2F42">
              <w:rPr>
                <w:b/>
              </w:rPr>
              <w:t>to</w:t>
            </w:r>
            <w:r w:rsidR="001C2F42" w:rsidRPr="001C2F42">
              <w:rPr>
                <w:b/>
              </w:rPr>
              <w:t xml:space="preserve"> refine/improve their lessons based on ideas that are generated as a result of the</w:t>
            </w:r>
            <w:r w:rsidR="001C2F42">
              <w:rPr>
                <w:b/>
              </w:rPr>
              <w:t>se</w:t>
            </w:r>
            <w:r w:rsidR="001C2F42" w:rsidRPr="001C2F42">
              <w:rPr>
                <w:b/>
              </w:rPr>
              <w:t xml:space="preserve"> questions. What are your thoughts? What might be the best way for you to actually </w:t>
            </w:r>
            <w:r w:rsidR="001C2F42">
              <w:rPr>
                <w:b/>
              </w:rPr>
              <w:t xml:space="preserve">remember and </w:t>
            </w:r>
            <w:r w:rsidR="001C2F42" w:rsidRPr="001C2F42">
              <w:rPr>
                <w:b/>
              </w:rPr>
              <w:t xml:space="preserve">use the principles in this QRG to improve instruction for ELLs and for all students? </w:t>
            </w:r>
            <w:r w:rsidR="001C2F42">
              <w:rPr>
                <w:b/>
              </w:rPr>
              <w:t>Feel free to connect @</w:t>
            </w:r>
            <w:proofErr w:type="spellStart"/>
            <w:r w:rsidR="001C2F42">
              <w:rPr>
                <w:b/>
              </w:rPr>
              <w:t>persidahimmele</w:t>
            </w:r>
            <w:proofErr w:type="spellEnd"/>
          </w:p>
          <w:p w:rsidR="001C2F42" w:rsidRDefault="001C2F42" w:rsidP="001C2F42"/>
          <w:p w:rsidR="001C2F42" w:rsidRDefault="001C2F42" w:rsidP="001C2F42"/>
          <w:p w:rsidR="001C2F42" w:rsidRDefault="001C2F42" w:rsidP="001C2F42"/>
          <w:p w:rsidR="00EB4D16" w:rsidRDefault="001C2F42" w:rsidP="001C2F42">
            <w:r>
              <w:t xml:space="preserve"> </w:t>
            </w:r>
          </w:p>
        </w:tc>
      </w:tr>
    </w:tbl>
    <w:p w:rsidR="00995AB6" w:rsidRDefault="00995AB6"/>
    <w:sectPr w:rsidR="00995AB6" w:rsidSect="00995AB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9D" w:rsidRDefault="0004069D" w:rsidP="00E84B96">
      <w:r>
        <w:separator/>
      </w:r>
    </w:p>
  </w:endnote>
  <w:endnote w:type="continuationSeparator" w:id="0">
    <w:p w:rsidR="0004069D" w:rsidRDefault="0004069D" w:rsidP="00E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96" w:rsidRDefault="00E84B96" w:rsidP="00394460">
    <w:pPr>
      <w:pStyle w:val="Footer"/>
    </w:pPr>
  </w:p>
  <w:p w:rsidR="00E84B96" w:rsidRDefault="00394460" w:rsidP="00394460">
    <w:pPr>
      <w:pStyle w:val="Footer"/>
      <w:jc w:val="right"/>
    </w:pPr>
    <w:r>
      <w:t xml:space="preserve">Additional free tools to accompany the ASCD Quick Reference Guide (QRG): </w:t>
    </w:r>
    <w:r w:rsidRPr="00E24BD7">
      <w:rPr>
        <w:i/>
        <w:u w:val="single"/>
      </w:rPr>
      <w:t>Planning effective instruction for ELLs</w:t>
    </w:r>
    <w:r>
      <w:t xml:space="preserve"> are available on </w:t>
    </w:r>
    <w:hyperlink r:id="rId1" w:history="1">
      <w:r w:rsidRPr="00E058C5">
        <w:rPr>
          <w:rStyle w:val="Hyperlink"/>
        </w:rPr>
        <w:t>www.TotalParticipationTechniques.com</w:t>
      </w:r>
    </w:hyperlink>
    <w:r>
      <w:t xml:space="preserve"> by using the password on page 6 of the QRG.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9D" w:rsidRDefault="0004069D" w:rsidP="00E84B96">
      <w:r>
        <w:separator/>
      </w:r>
    </w:p>
  </w:footnote>
  <w:footnote w:type="continuationSeparator" w:id="0">
    <w:p w:rsidR="0004069D" w:rsidRDefault="0004069D" w:rsidP="00E8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B6"/>
    <w:rsid w:val="0004069D"/>
    <w:rsid w:val="001C2F42"/>
    <w:rsid w:val="00394460"/>
    <w:rsid w:val="00406972"/>
    <w:rsid w:val="004331B3"/>
    <w:rsid w:val="008A454A"/>
    <w:rsid w:val="00995AB6"/>
    <w:rsid w:val="009C5648"/>
    <w:rsid w:val="00A0131F"/>
    <w:rsid w:val="00AD7BCC"/>
    <w:rsid w:val="00B52925"/>
    <w:rsid w:val="00D273D4"/>
    <w:rsid w:val="00E24BD7"/>
    <w:rsid w:val="00E84B96"/>
    <w:rsid w:val="00E95CB3"/>
    <w:rsid w:val="00EA00D3"/>
    <w:rsid w:val="00E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C1CEB-6D4D-427D-8CC5-6F2B3D66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B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96"/>
  </w:style>
  <w:style w:type="paragraph" w:styleId="Footer">
    <w:name w:val="footer"/>
    <w:basedOn w:val="Normal"/>
    <w:link w:val="FooterChar"/>
    <w:uiPriority w:val="99"/>
    <w:unhideWhenUsed/>
    <w:rsid w:val="00E84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talParticipationTechniq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Persida Himmele</dc:creator>
  <cp:keywords/>
  <dc:description/>
  <cp:lastModifiedBy>Persida Himmele</cp:lastModifiedBy>
  <cp:revision>3</cp:revision>
  <dcterms:created xsi:type="dcterms:W3CDTF">2020-08-04T01:49:00Z</dcterms:created>
  <dcterms:modified xsi:type="dcterms:W3CDTF">2020-08-04T02:01:00Z</dcterms:modified>
</cp:coreProperties>
</file>